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242D5" w14:textId="77777777" w:rsidR="007E4CBE" w:rsidRPr="007E4CBE" w:rsidRDefault="007E4CBE" w:rsidP="007E4CBE">
      <w:r w:rsidRPr="007E4CBE">
        <w:t>Прокомментируйте PR-кампанию: «Дождь» смыл «ложь» с билборда.</w:t>
      </w:r>
    </w:p>
    <w:p w14:paraId="329AA25F" w14:textId="77777777" w:rsidR="007E4CBE" w:rsidRPr="007E4CBE" w:rsidRDefault="007E4CBE" w:rsidP="007E4CBE">
      <w:r w:rsidRPr="007E4CBE">
        <w:t>В начале октября телеканал «Дождь» запустил на сайте прямую трансляцию своего билборда, размещенного в Екатеринбурге. На рекламном щите водорастворимой краской было написано: «Дождь смоет ложь». Каждый раз во время осадков часть текста стиралась, а пользователи могли получить скидку на подписку в 50%. На сайте проекта велась прямая трансляция щита. В среднем за минуту дождя на издание подписывались 13-15 человек.</w:t>
      </w:r>
    </w:p>
    <w:p w14:paraId="2E8437B6" w14:textId="6518F712" w:rsidR="00C22250" w:rsidRDefault="007E4CBE">
      <w:r>
        <w:rPr>
          <w:noProof/>
        </w:rPr>
        <w:drawing>
          <wp:inline distT="0" distB="0" distL="0" distR="0" wp14:anchorId="675441CE" wp14:editId="26158588">
            <wp:extent cx="5940425" cy="205676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B6B1F" w14:textId="51E529FC" w:rsidR="007E4CBE" w:rsidRDefault="007E4CBE">
      <w:r w:rsidRPr="007E4CBE">
        <w:t>Определите цели PR-кампании. Основные целевые аудитории. А также предложите методы, которыми можно оценить PR-кампанию.</w:t>
      </w:r>
    </w:p>
    <w:sectPr w:rsidR="007E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19"/>
    <w:rsid w:val="00591819"/>
    <w:rsid w:val="007E4CBE"/>
    <w:rsid w:val="00C2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06B81"/>
  <w15:chartTrackingRefBased/>
  <w15:docId w15:val="{FD310155-A1BD-41E3-B945-A687E91C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2021-10-20T14:03:00Z</dcterms:created>
  <dcterms:modified xsi:type="dcterms:W3CDTF">2021-10-20T14:04:00Z</dcterms:modified>
</cp:coreProperties>
</file>